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B3D7B" w14:textId="77777777" w:rsidR="003C54CB" w:rsidRDefault="003C54CB"/>
    <w:p w14:paraId="01F411D6" w14:textId="77777777" w:rsidR="000051BD" w:rsidRPr="000051BD" w:rsidRDefault="000051BD" w:rsidP="000051BD"/>
    <w:p w14:paraId="04ABC3B7" w14:textId="77777777" w:rsidR="000051BD" w:rsidRPr="000051BD" w:rsidRDefault="000051BD" w:rsidP="000051BD"/>
    <w:p w14:paraId="658D5B0B" w14:textId="77777777" w:rsidR="000051BD" w:rsidRPr="000051BD" w:rsidRDefault="000051BD" w:rsidP="000051BD"/>
    <w:p w14:paraId="143430E2" w14:textId="77777777" w:rsidR="000051BD" w:rsidRDefault="000051BD" w:rsidP="000051BD"/>
    <w:p w14:paraId="7F3898F2" w14:textId="77777777" w:rsidR="000051BD" w:rsidRPr="000051BD" w:rsidRDefault="000051BD" w:rsidP="000051BD">
      <w:pPr>
        <w:jc w:val="center"/>
        <w:rPr>
          <w:b/>
          <w:sz w:val="48"/>
          <w:szCs w:val="48"/>
        </w:rPr>
      </w:pPr>
      <w:r>
        <w:tab/>
      </w:r>
      <w:r w:rsidRPr="000051BD">
        <w:rPr>
          <w:b/>
          <w:sz w:val="48"/>
          <w:szCs w:val="48"/>
        </w:rPr>
        <w:t>Igiene Urbana: al via la gara da 180 milioni di euro per i Comuni dell’ARO BR/3</w:t>
      </w:r>
    </w:p>
    <w:p w14:paraId="39506557" w14:textId="77777777" w:rsidR="000051BD" w:rsidRDefault="000051BD" w:rsidP="000051BD">
      <w:pPr>
        <w:jc w:val="center"/>
      </w:pPr>
    </w:p>
    <w:p w14:paraId="5C4C83F5" w14:textId="77777777" w:rsidR="000051BD" w:rsidRDefault="000051BD" w:rsidP="000051BD">
      <w:pPr>
        <w:jc w:val="center"/>
      </w:pPr>
    </w:p>
    <w:p w14:paraId="7E6F4789" w14:textId="77777777" w:rsidR="000051BD" w:rsidRDefault="000051BD" w:rsidP="000051BD">
      <w:pPr>
        <w:rPr>
          <w:i/>
          <w:iCs/>
          <w:sz w:val="28"/>
          <w:szCs w:val="28"/>
        </w:rPr>
      </w:pPr>
      <w:r w:rsidRPr="00EC15E5">
        <w:rPr>
          <w:i/>
          <w:iCs/>
          <w:sz w:val="28"/>
          <w:szCs w:val="28"/>
        </w:rPr>
        <w:t>Approvata la decisione a contrarre per l’affidamento unitario dei servizi di raccolta e spazzamento rifiuti nei territori di Fasano, Ostuni, Carovigno, Cisternino e San Vito dei Normanni</w:t>
      </w:r>
    </w:p>
    <w:p w14:paraId="0E184470" w14:textId="77777777" w:rsidR="000051BD" w:rsidRDefault="000051BD" w:rsidP="000051BD"/>
    <w:p w14:paraId="4749BC45" w14:textId="77777777" w:rsidR="000051BD" w:rsidRDefault="000051BD" w:rsidP="000051BD"/>
    <w:p w14:paraId="5406454B" w14:textId="77777777" w:rsidR="000051BD" w:rsidRPr="00102085" w:rsidRDefault="000051BD" w:rsidP="000051BD"/>
    <w:p w14:paraId="0F9D2877" w14:textId="62D1667B" w:rsidR="000051BD" w:rsidRPr="006039ED" w:rsidRDefault="000051BD" w:rsidP="000051BD">
      <w:pPr>
        <w:jc w:val="both"/>
        <w:rPr>
          <w:sz w:val="22"/>
          <w:szCs w:val="22"/>
        </w:rPr>
      </w:pPr>
      <w:r w:rsidRPr="006039ED">
        <w:rPr>
          <w:sz w:val="22"/>
          <w:szCs w:val="22"/>
        </w:rPr>
        <w:t>FASANO – Ha preso ufficialmente avvio l’iter per l’affidamento del nuovo servizio di igiene urbana unitario dell’</w:t>
      </w:r>
      <w:r w:rsidRPr="006039ED">
        <w:rPr>
          <w:b/>
          <w:bCs/>
          <w:sz w:val="22"/>
          <w:szCs w:val="22"/>
        </w:rPr>
        <w:t>Ambito di Raccolta Ottimale (ARO) BR/3</w:t>
      </w:r>
      <w:r w:rsidRPr="006039ED">
        <w:rPr>
          <w:sz w:val="22"/>
          <w:szCs w:val="22"/>
        </w:rPr>
        <w:t>. Il Comune di Fasano, in qualità di capofila e stazione appaltante qualificata, ha di recente pubblicato la procedura di gara ad evidenza pubblica che regolerà la gestione dei rifiuti nei Comuni appartenenti all’Ambito (Fasano, Ostuni, Carovigno, Cisternino e San Vito dei Normanni), per i prossimi anni.</w:t>
      </w:r>
    </w:p>
    <w:p w14:paraId="1B260505" w14:textId="77777777" w:rsidR="000051BD" w:rsidRPr="006039ED" w:rsidRDefault="000051BD" w:rsidP="000051BD">
      <w:pPr>
        <w:jc w:val="both"/>
        <w:rPr>
          <w:b/>
          <w:bCs/>
          <w:sz w:val="22"/>
          <w:szCs w:val="22"/>
        </w:rPr>
      </w:pPr>
    </w:p>
    <w:p w14:paraId="1C9B559A" w14:textId="0CDB2290" w:rsidR="000051BD" w:rsidRPr="006039ED" w:rsidRDefault="000051BD" w:rsidP="000051BD">
      <w:pPr>
        <w:jc w:val="both"/>
        <w:rPr>
          <w:sz w:val="22"/>
          <w:szCs w:val="22"/>
        </w:rPr>
      </w:pPr>
      <w:r w:rsidRPr="006039ED">
        <w:rPr>
          <w:sz w:val="22"/>
          <w:szCs w:val="22"/>
        </w:rPr>
        <w:t>L’istituzione degli ARO in Puglia risponde a precise finalità di efficienza gestionale e tutela ambientale, operando nel quadro del </w:t>
      </w:r>
      <w:r w:rsidRPr="006039ED">
        <w:rPr>
          <w:b/>
          <w:bCs/>
          <w:sz w:val="22"/>
          <w:szCs w:val="22"/>
        </w:rPr>
        <w:t>Nuovo Codice dei Contratti (</w:t>
      </w:r>
      <w:proofErr w:type="spellStart"/>
      <w:r w:rsidRPr="006039ED">
        <w:rPr>
          <w:b/>
          <w:bCs/>
          <w:sz w:val="22"/>
          <w:szCs w:val="22"/>
        </w:rPr>
        <w:t>D.Lgs.</w:t>
      </w:r>
      <w:proofErr w:type="spellEnd"/>
      <w:r w:rsidRPr="006039ED">
        <w:rPr>
          <w:b/>
          <w:bCs/>
          <w:sz w:val="22"/>
          <w:szCs w:val="22"/>
        </w:rPr>
        <w:t xml:space="preserve"> 36/2023)</w:t>
      </w:r>
      <w:r w:rsidRPr="006039ED">
        <w:rPr>
          <w:sz w:val="22"/>
          <w:szCs w:val="22"/>
        </w:rPr>
        <w:t> e del </w:t>
      </w:r>
      <w:r w:rsidRPr="006039ED">
        <w:rPr>
          <w:b/>
          <w:bCs/>
          <w:sz w:val="22"/>
          <w:szCs w:val="22"/>
        </w:rPr>
        <w:t>Testo Unico Ambientale (</w:t>
      </w:r>
      <w:proofErr w:type="spellStart"/>
      <w:r w:rsidRPr="006039ED">
        <w:rPr>
          <w:b/>
          <w:bCs/>
          <w:sz w:val="22"/>
          <w:szCs w:val="22"/>
        </w:rPr>
        <w:t>D.Lgs.</w:t>
      </w:r>
      <w:proofErr w:type="spellEnd"/>
      <w:r w:rsidRPr="006039ED">
        <w:rPr>
          <w:b/>
          <w:bCs/>
          <w:sz w:val="22"/>
          <w:szCs w:val="22"/>
        </w:rPr>
        <w:t xml:space="preserve"> 152/2006)</w:t>
      </w:r>
      <w:r w:rsidRPr="006039ED">
        <w:rPr>
          <w:sz w:val="22"/>
          <w:szCs w:val="22"/>
        </w:rPr>
        <w:t xml:space="preserve">. </w:t>
      </w:r>
    </w:p>
    <w:p w14:paraId="0E2FC50C" w14:textId="77777777" w:rsidR="000051BD" w:rsidRPr="006039ED" w:rsidRDefault="000051BD" w:rsidP="000051BD">
      <w:pPr>
        <w:jc w:val="both"/>
        <w:rPr>
          <w:sz w:val="22"/>
          <w:szCs w:val="22"/>
        </w:rPr>
      </w:pPr>
    </w:p>
    <w:p w14:paraId="7A3D87E7" w14:textId="14683E25" w:rsidR="000051BD" w:rsidRPr="006039ED" w:rsidRDefault="000051BD" w:rsidP="000051BD">
      <w:pPr>
        <w:jc w:val="both"/>
        <w:rPr>
          <w:sz w:val="22"/>
          <w:szCs w:val="22"/>
        </w:rPr>
      </w:pPr>
      <w:r w:rsidRPr="006039ED">
        <w:rPr>
          <w:sz w:val="22"/>
          <w:szCs w:val="22"/>
        </w:rPr>
        <w:t>L’obiettivo centrale dell'operazione è superare la storica frammentazione dei servizi locali per abbracciare una gestione integrata, capace di trasformare il ciclo dei rifiuti in un modello di eccellenza. Grazie a una programmazione unitaria tra i comuni limitrofi, che comunque terrà conto delle peculiarità e delle esigenze di ogni</w:t>
      </w:r>
      <w:r w:rsidR="006039ED">
        <w:rPr>
          <w:sz w:val="22"/>
          <w:szCs w:val="22"/>
        </w:rPr>
        <w:t xml:space="preserve"> </w:t>
      </w:r>
      <w:r w:rsidRPr="006039ED">
        <w:rPr>
          <w:sz w:val="22"/>
          <w:szCs w:val="22"/>
        </w:rPr>
        <w:t>singolo comune, sarà garantito ai cittadini un servizio migliorato ed innovato, molto più efficiente e nel quadro del Nuovo Codice dei Contratti degli Appalti (</w:t>
      </w:r>
      <w:proofErr w:type="spellStart"/>
      <w:r w:rsidRPr="006039ED">
        <w:rPr>
          <w:sz w:val="22"/>
          <w:szCs w:val="22"/>
        </w:rPr>
        <w:t>D.Lgs.</w:t>
      </w:r>
      <w:proofErr w:type="spellEnd"/>
      <w:r w:rsidRPr="006039ED">
        <w:rPr>
          <w:sz w:val="22"/>
          <w:szCs w:val="22"/>
        </w:rPr>
        <w:t xml:space="preserve"> 36/2023) e del Testo Unico Ambientale (</w:t>
      </w:r>
      <w:proofErr w:type="spellStart"/>
      <w:r w:rsidRPr="006039ED">
        <w:rPr>
          <w:sz w:val="22"/>
          <w:szCs w:val="22"/>
        </w:rPr>
        <w:t>D.Lgs.</w:t>
      </w:r>
      <w:proofErr w:type="spellEnd"/>
      <w:r w:rsidRPr="006039ED">
        <w:rPr>
          <w:sz w:val="22"/>
          <w:szCs w:val="22"/>
        </w:rPr>
        <w:t xml:space="preserve"> puntuale, con ottimizzazione dei costi generata dalle importanti economie di scala che necessariamente si verificheranno.</w:t>
      </w:r>
    </w:p>
    <w:p w14:paraId="2593932B" w14:textId="77777777" w:rsidR="000051BD" w:rsidRPr="006039ED" w:rsidRDefault="000051BD" w:rsidP="000051BD">
      <w:pPr>
        <w:jc w:val="both"/>
        <w:rPr>
          <w:sz w:val="22"/>
          <w:szCs w:val="22"/>
        </w:rPr>
      </w:pPr>
      <w:r w:rsidRPr="006039ED">
        <w:rPr>
          <w:sz w:val="22"/>
          <w:szCs w:val="22"/>
        </w:rPr>
        <w:t>Questa sinergia non è solo economica, ma rappresenta una vera svolta per la tutela del nostro territorio: attraverso un piano industriale moderno e mirato, adeguato agli ultimi Criteri Ambientali Minimi ossia ai requisiti ecologici e prestazionali obbligatori definiti dal Ministero dell'Ambiente, volti a ridurre drasticamente l'impatto ambientale di prodotti e servizi, l'Ambito punta con decisione ad incrementare la raccolta differenziata, superando i target europei e nazionali di riciclo ed a promuovere sostenibilità, economia circolare e green jobs, premiando il recupero delle risorse rispetto allo smaltimento in discarica.</w:t>
      </w:r>
    </w:p>
    <w:p w14:paraId="6D2A073F" w14:textId="67ADAD42" w:rsidR="000051BD" w:rsidRPr="006039ED" w:rsidRDefault="000051BD" w:rsidP="000051BD">
      <w:pPr>
        <w:jc w:val="both"/>
        <w:rPr>
          <w:sz w:val="22"/>
          <w:szCs w:val="22"/>
        </w:rPr>
      </w:pPr>
      <w:r w:rsidRPr="006039ED">
        <w:rPr>
          <w:sz w:val="22"/>
          <w:szCs w:val="22"/>
        </w:rPr>
        <w:t>Infine, questo nuovo corso assicurerà ai cittadini la massima trasparenza e certezza dei costi: un corrispettivo contrattuale dovuto al gestore (e conseguenti tariffe TARI) chiaro e definito, basato su piani economico-finanziari solidi e meccanismi di adeguamento rispettosi del Codice degli Appalti, che da un lato garantiscono la qualità del servizio nel tempo, dall’altro non “scaricano” le dinamiche della regolazione tariffaria sul contratto d’appalto, per</w:t>
      </w:r>
      <w:r w:rsidR="006039ED">
        <w:rPr>
          <w:sz w:val="22"/>
          <w:szCs w:val="22"/>
        </w:rPr>
        <w:t xml:space="preserve"> </w:t>
      </w:r>
      <w:r w:rsidRPr="006039ED">
        <w:rPr>
          <w:sz w:val="22"/>
          <w:szCs w:val="22"/>
        </w:rPr>
        <w:t>una gestione delle risorse pubbliche sempre più equa e consapevole.</w:t>
      </w:r>
    </w:p>
    <w:p w14:paraId="0064F5CD" w14:textId="77777777" w:rsidR="000051BD" w:rsidRPr="006039ED" w:rsidRDefault="000051BD" w:rsidP="000051BD">
      <w:pPr>
        <w:jc w:val="both"/>
        <w:rPr>
          <w:b/>
          <w:bCs/>
          <w:sz w:val="22"/>
          <w:szCs w:val="22"/>
        </w:rPr>
      </w:pPr>
      <w:r w:rsidRPr="006039ED">
        <w:rPr>
          <w:b/>
          <w:bCs/>
          <w:sz w:val="22"/>
          <w:szCs w:val="22"/>
        </w:rPr>
        <w:t xml:space="preserve"> </w:t>
      </w:r>
    </w:p>
    <w:p w14:paraId="06E0129A" w14:textId="77777777" w:rsidR="006039ED" w:rsidRDefault="006039ED" w:rsidP="000051BD">
      <w:pPr>
        <w:jc w:val="both"/>
        <w:rPr>
          <w:sz w:val="22"/>
          <w:szCs w:val="22"/>
        </w:rPr>
      </w:pPr>
    </w:p>
    <w:p w14:paraId="28D8EB5D" w14:textId="77777777" w:rsidR="006039ED" w:rsidRDefault="006039ED" w:rsidP="000051BD">
      <w:pPr>
        <w:jc w:val="both"/>
        <w:rPr>
          <w:sz w:val="22"/>
          <w:szCs w:val="22"/>
        </w:rPr>
      </w:pPr>
    </w:p>
    <w:p w14:paraId="3C365AF7" w14:textId="3CA1DE46" w:rsidR="000051BD" w:rsidRPr="006039ED" w:rsidRDefault="000051BD" w:rsidP="000051BD">
      <w:pPr>
        <w:jc w:val="both"/>
        <w:rPr>
          <w:sz w:val="22"/>
          <w:szCs w:val="22"/>
        </w:rPr>
      </w:pPr>
      <w:r w:rsidRPr="006039ED">
        <w:rPr>
          <w:sz w:val="22"/>
          <w:szCs w:val="22"/>
        </w:rPr>
        <w:t>L’avvio della procedura rappresenta un passaggio di fondamentale importanza, data la rarità dei contesti d'Ambito che hanno completato il percorso verso la gara pubblica. La durata pluriennale dell'affidamento — stabilita in 8 anni più uno di eventuale proroga — consentirà un ammodernamento radicale del servizio. Tra gli obiettivi primari</w:t>
      </w:r>
      <w:r w:rsidR="006039ED">
        <w:rPr>
          <w:sz w:val="22"/>
          <w:szCs w:val="22"/>
        </w:rPr>
        <w:t xml:space="preserve"> </w:t>
      </w:r>
      <w:r w:rsidRPr="006039ED">
        <w:rPr>
          <w:sz w:val="22"/>
          <w:szCs w:val="22"/>
        </w:rPr>
        <w:t>figurano il rinnovo completo del parco mezzi e l’implementazione di progetti di raccolta tecnologicamente avanzati. Si prevedono, inoltre, significative migliorie qualitative e un ribasso economico significativo per ottimizzare l’impiego delle risorse pubbliche.</w:t>
      </w:r>
    </w:p>
    <w:p w14:paraId="0C4C96FE" w14:textId="77777777" w:rsidR="000051BD" w:rsidRPr="006039ED" w:rsidRDefault="000051BD" w:rsidP="000051BD">
      <w:pPr>
        <w:jc w:val="both"/>
        <w:rPr>
          <w:b/>
          <w:bCs/>
          <w:sz w:val="22"/>
          <w:szCs w:val="22"/>
        </w:rPr>
      </w:pPr>
      <w:r w:rsidRPr="006039ED">
        <w:rPr>
          <w:b/>
          <w:bCs/>
          <w:sz w:val="22"/>
          <w:szCs w:val="22"/>
        </w:rPr>
        <w:t xml:space="preserve"> </w:t>
      </w:r>
    </w:p>
    <w:p w14:paraId="7149474B" w14:textId="77777777" w:rsidR="000051BD" w:rsidRPr="006039ED" w:rsidRDefault="000051BD" w:rsidP="000051BD">
      <w:pPr>
        <w:jc w:val="both"/>
        <w:rPr>
          <w:sz w:val="22"/>
          <w:szCs w:val="22"/>
        </w:rPr>
      </w:pPr>
      <w:r w:rsidRPr="006039ED">
        <w:rPr>
          <w:sz w:val="22"/>
          <w:szCs w:val="22"/>
        </w:rPr>
        <w:t>Il valore economico stimato è così ripartito:</w:t>
      </w:r>
    </w:p>
    <w:p w14:paraId="2340EADB" w14:textId="77777777" w:rsidR="000051BD" w:rsidRPr="006039ED" w:rsidRDefault="000051BD" w:rsidP="000051BD">
      <w:pPr>
        <w:numPr>
          <w:ilvl w:val="0"/>
          <w:numId w:val="1"/>
        </w:numPr>
        <w:jc w:val="both"/>
        <w:rPr>
          <w:sz w:val="22"/>
          <w:szCs w:val="22"/>
        </w:rPr>
      </w:pPr>
      <w:r w:rsidRPr="006039ED">
        <w:rPr>
          <w:b/>
          <w:bCs/>
          <w:sz w:val="22"/>
          <w:szCs w:val="22"/>
        </w:rPr>
        <w:t>Importo a base d’asta:</w:t>
      </w:r>
      <w:r w:rsidRPr="006039ED">
        <w:rPr>
          <w:sz w:val="22"/>
          <w:szCs w:val="22"/>
        </w:rPr>
        <w:t> € 161.924.255,06.</w:t>
      </w:r>
    </w:p>
    <w:p w14:paraId="0C7E8889" w14:textId="77777777" w:rsidR="000051BD" w:rsidRPr="006039ED" w:rsidRDefault="000051BD" w:rsidP="000051BD">
      <w:pPr>
        <w:numPr>
          <w:ilvl w:val="0"/>
          <w:numId w:val="1"/>
        </w:numPr>
        <w:jc w:val="both"/>
        <w:rPr>
          <w:sz w:val="22"/>
          <w:szCs w:val="22"/>
        </w:rPr>
      </w:pPr>
      <w:r w:rsidRPr="006039ED">
        <w:rPr>
          <w:b/>
          <w:bCs/>
          <w:sz w:val="22"/>
          <w:szCs w:val="22"/>
        </w:rPr>
        <w:t>Opzione di proroga tecnica (1 anno):</w:t>
      </w:r>
      <w:r w:rsidRPr="006039ED">
        <w:rPr>
          <w:sz w:val="22"/>
          <w:szCs w:val="22"/>
        </w:rPr>
        <w:t> € 16.883.374,52.</w:t>
      </w:r>
    </w:p>
    <w:p w14:paraId="6D48B35A" w14:textId="77777777" w:rsidR="000051BD" w:rsidRPr="006039ED" w:rsidRDefault="000051BD" w:rsidP="000051BD">
      <w:pPr>
        <w:numPr>
          <w:ilvl w:val="0"/>
          <w:numId w:val="1"/>
        </w:numPr>
        <w:jc w:val="both"/>
        <w:rPr>
          <w:sz w:val="22"/>
          <w:szCs w:val="22"/>
        </w:rPr>
      </w:pPr>
      <w:r w:rsidRPr="006039ED">
        <w:rPr>
          <w:b/>
          <w:bCs/>
          <w:sz w:val="22"/>
          <w:szCs w:val="22"/>
        </w:rPr>
        <w:t>Valore complessivo del quadro economico:</w:t>
      </w:r>
      <w:r w:rsidRPr="006039ED">
        <w:rPr>
          <w:sz w:val="22"/>
          <w:szCs w:val="22"/>
        </w:rPr>
        <w:t> circa </w:t>
      </w:r>
      <w:r w:rsidRPr="006039ED">
        <w:rPr>
          <w:b/>
          <w:bCs/>
          <w:sz w:val="22"/>
          <w:szCs w:val="22"/>
        </w:rPr>
        <w:t>€ 199,5 milioni</w:t>
      </w:r>
      <w:r w:rsidRPr="006039ED">
        <w:rPr>
          <w:sz w:val="22"/>
          <w:szCs w:val="22"/>
        </w:rPr>
        <w:t> di euro (incluse IVA e somme a disposizione).</w:t>
      </w:r>
    </w:p>
    <w:p w14:paraId="19157DC2" w14:textId="77777777" w:rsidR="000051BD" w:rsidRPr="006039ED" w:rsidRDefault="000051BD" w:rsidP="000051BD">
      <w:pPr>
        <w:jc w:val="both"/>
        <w:rPr>
          <w:b/>
          <w:bCs/>
          <w:sz w:val="22"/>
          <w:szCs w:val="22"/>
        </w:rPr>
      </w:pPr>
    </w:p>
    <w:p w14:paraId="68862AE7" w14:textId="77777777" w:rsidR="000051BD" w:rsidRPr="006039ED" w:rsidRDefault="000051BD" w:rsidP="000051BD">
      <w:pPr>
        <w:jc w:val="both"/>
        <w:rPr>
          <w:sz w:val="22"/>
          <w:szCs w:val="22"/>
        </w:rPr>
      </w:pPr>
      <w:r w:rsidRPr="006039ED">
        <w:rPr>
          <w:sz w:val="22"/>
          <w:szCs w:val="22"/>
        </w:rPr>
        <w:t xml:space="preserve">L’aggiudicazione avverrà adottando il criterio dell’offerta economicamente più vantaggiosa, che privilegia il miglior rapporto tra qualità tecnica e prezzo. Le procedure saranno svolte tramite la piattaforma regionale </w:t>
      </w:r>
      <w:proofErr w:type="spellStart"/>
      <w:r w:rsidRPr="006039ED">
        <w:rPr>
          <w:b/>
          <w:bCs/>
          <w:sz w:val="22"/>
          <w:szCs w:val="22"/>
        </w:rPr>
        <w:t>EmPulia</w:t>
      </w:r>
      <w:proofErr w:type="spellEnd"/>
      <w:r w:rsidRPr="006039ED">
        <w:rPr>
          <w:sz w:val="22"/>
          <w:szCs w:val="22"/>
        </w:rPr>
        <w:t>, garantendo interoperabilità, trasparenza e rispetto degli obblighi di digitalizzazione imposti dal Codice dei Contratti. In linea con il Principio del Risultato e della Fiducia previsti dal nuovo Codice, la scelta del lotto unico assicurerà una gestione globale coordinata.</w:t>
      </w:r>
    </w:p>
    <w:p w14:paraId="7E28DF4B" w14:textId="77777777" w:rsidR="000051BD" w:rsidRPr="006039ED" w:rsidRDefault="000051BD" w:rsidP="000051BD">
      <w:pPr>
        <w:jc w:val="both"/>
        <w:rPr>
          <w:b/>
          <w:bCs/>
          <w:sz w:val="22"/>
          <w:szCs w:val="22"/>
        </w:rPr>
      </w:pPr>
      <w:r w:rsidRPr="006039ED">
        <w:rPr>
          <w:b/>
          <w:bCs/>
          <w:sz w:val="22"/>
          <w:szCs w:val="22"/>
        </w:rPr>
        <w:t xml:space="preserve"> </w:t>
      </w:r>
    </w:p>
    <w:p w14:paraId="010B385C" w14:textId="446DDFB2" w:rsidR="000051BD" w:rsidRPr="006039ED" w:rsidRDefault="000051BD" w:rsidP="000051BD">
      <w:pPr>
        <w:jc w:val="both"/>
        <w:rPr>
          <w:sz w:val="22"/>
          <w:szCs w:val="22"/>
        </w:rPr>
      </w:pPr>
      <w:r w:rsidRPr="006039ED">
        <w:rPr>
          <w:sz w:val="22"/>
          <w:szCs w:val="22"/>
        </w:rPr>
        <w:t>Il raggiungimento di questo traguardo è frutto di una complessa collaborazione istituzionale. Un particolare ringraziamento va al Commissario dell’ARO 3, </w:t>
      </w:r>
      <w:r w:rsidRPr="006039ED">
        <w:rPr>
          <w:b/>
          <w:bCs/>
          <w:sz w:val="22"/>
          <w:szCs w:val="22"/>
        </w:rPr>
        <w:t>Giovanni Campobasso</w:t>
      </w:r>
      <w:r w:rsidRPr="006039ED">
        <w:rPr>
          <w:sz w:val="22"/>
          <w:szCs w:val="22"/>
        </w:rPr>
        <w:t> (dirigente della Regione Puglia), e al suo funzionario collaboratore, </w:t>
      </w:r>
      <w:r w:rsidRPr="006039ED">
        <w:rPr>
          <w:b/>
          <w:bCs/>
          <w:sz w:val="22"/>
          <w:szCs w:val="22"/>
        </w:rPr>
        <w:t>Fausto Pizzolante</w:t>
      </w:r>
      <w:r w:rsidRPr="006039ED">
        <w:rPr>
          <w:sz w:val="22"/>
          <w:szCs w:val="22"/>
        </w:rPr>
        <w:t>, per il supporto fornito. I sindaci dei cinque comuni interessati esprimono inoltre profonda gratitudine verso le strutture tecniche dei rispettivi enti: un riconoscimento che va ai dirigenti di settore, ai funzionari dei servizi ambiente e rifiuti e agli assessori con delega specifica, il cui lavoro è stato essenziale per la definizione degli atti</w:t>
      </w:r>
      <w:r w:rsidR="008D6525">
        <w:rPr>
          <w:sz w:val="22"/>
          <w:szCs w:val="22"/>
        </w:rPr>
        <w:t xml:space="preserve">, e </w:t>
      </w:r>
      <w:r w:rsidR="00EF7C6C">
        <w:rPr>
          <w:sz w:val="22"/>
          <w:szCs w:val="22"/>
        </w:rPr>
        <w:t>ai</w:t>
      </w:r>
      <w:r w:rsidR="008D6525" w:rsidRPr="008D6525">
        <w:rPr>
          <w:sz w:val="22"/>
          <w:szCs w:val="22"/>
        </w:rPr>
        <w:t xml:space="preserve"> tecnici esterni che hanno collaborato alla redazione del Piano Indust</w:t>
      </w:r>
      <w:r w:rsidR="008D6525">
        <w:rPr>
          <w:sz w:val="22"/>
          <w:szCs w:val="22"/>
        </w:rPr>
        <w:t>r</w:t>
      </w:r>
      <w:r w:rsidR="008D6525" w:rsidRPr="008D6525">
        <w:rPr>
          <w:sz w:val="22"/>
          <w:szCs w:val="22"/>
        </w:rPr>
        <w:t>ial</w:t>
      </w:r>
      <w:r w:rsidR="008D6525">
        <w:rPr>
          <w:sz w:val="22"/>
          <w:szCs w:val="22"/>
        </w:rPr>
        <w:t>e.</w:t>
      </w:r>
    </w:p>
    <w:p w14:paraId="267DDB7E" w14:textId="77777777" w:rsidR="000051BD" w:rsidRPr="006039ED" w:rsidRDefault="000051BD" w:rsidP="000051BD">
      <w:pPr>
        <w:jc w:val="both"/>
        <w:rPr>
          <w:b/>
          <w:bCs/>
          <w:sz w:val="22"/>
          <w:szCs w:val="22"/>
        </w:rPr>
      </w:pPr>
      <w:r w:rsidRPr="006039ED">
        <w:rPr>
          <w:b/>
          <w:bCs/>
          <w:sz w:val="22"/>
          <w:szCs w:val="22"/>
        </w:rPr>
        <w:t xml:space="preserve"> </w:t>
      </w:r>
    </w:p>
    <w:p w14:paraId="455A41D9" w14:textId="77777777" w:rsidR="000051BD" w:rsidRPr="006039ED" w:rsidRDefault="000051BD" w:rsidP="000051BD">
      <w:pPr>
        <w:jc w:val="both"/>
        <w:rPr>
          <w:i/>
          <w:iCs/>
          <w:sz w:val="22"/>
          <w:szCs w:val="22"/>
        </w:rPr>
      </w:pPr>
      <w:r w:rsidRPr="006039ED">
        <w:rPr>
          <w:i/>
          <w:iCs/>
          <w:sz w:val="22"/>
          <w:szCs w:val="22"/>
        </w:rPr>
        <w:t xml:space="preserve">I documenti di gara e gli atti relativi sono consultabili nella sezione "Amministrazione Trasparente" del sito istituzionale del Comune di Fasano e sui portali </w:t>
      </w:r>
      <w:proofErr w:type="spellStart"/>
      <w:r w:rsidRPr="006039ED">
        <w:rPr>
          <w:i/>
          <w:iCs/>
          <w:sz w:val="22"/>
          <w:szCs w:val="22"/>
        </w:rPr>
        <w:t>EmPulia</w:t>
      </w:r>
      <w:proofErr w:type="spellEnd"/>
      <w:r w:rsidRPr="006039ED">
        <w:rPr>
          <w:i/>
          <w:iCs/>
          <w:sz w:val="22"/>
          <w:szCs w:val="22"/>
        </w:rPr>
        <w:t xml:space="preserve"> e AGER Puglia.</w:t>
      </w:r>
    </w:p>
    <w:p w14:paraId="4A7CE21F" w14:textId="77777777" w:rsidR="000051BD" w:rsidRPr="006039ED" w:rsidRDefault="000051BD" w:rsidP="000051BD">
      <w:pPr>
        <w:jc w:val="both"/>
        <w:rPr>
          <w:sz w:val="22"/>
          <w:szCs w:val="22"/>
        </w:rPr>
      </w:pPr>
    </w:p>
    <w:p w14:paraId="33FB9F19" w14:textId="77777777" w:rsidR="000051BD" w:rsidRPr="006039ED" w:rsidRDefault="000051BD" w:rsidP="000051BD">
      <w:pPr>
        <w:jc w:val="both"/>
        <w:rPr>
          <w:sz w:val="22"/>
          <w:szCs w:val="22"/>
        </w:rPr>
      </w:pPr>
    </w:p>
    <w:p w14:paraId="571341C5" w14:textId="7A9EF409" w:rsidR="000051BD" w:rsidRPr="006039ED" w:rsidRDefault="000051BD" w:rsidP="000051BD">
      <w:pPr>
        <w:jc w:val="both"/>
        <w:rPr>
          <w:sz w:val="22"/>
          <w:szCs w:val="22"/>
        </w:rPr>
      </w:pPr>
      <w:r w:rsidRPr="006039ED">
        <w:rPr>
          <w:sz w:val="22"/>
          <w:szCs w:val="22"/>
        </w:rPr>
        <w:t>Fasano, 3</w:t>
      </w:r>
      <w:r w:rsidR="006039ED" w:rsidRPr="006039ED">
        <w:rPr>
          <w:sz w:val="22"/>
          <w:szCs w:val="22"/>
        </w:rPr>
        <w:t>1</w:t>
      </w:r>
      <w:r w:rsidRPr="006039ED">
        <w:rPr>
          <w:sz w:val="22"/>
          <w:szCs w:val="22"/>
        </w:rPr>
        <w:t xml:space="preserve"> dicembre 2025</w:t>
      </w:r>
    </w:p>
    <w:p w14:paraId="18CF0B8B" w14:textId="77777777" w:rsidR="000051BD" w:rsidRPr="006039ED" w:rsidRDefault="000051BD" w:rsidP="006039ED">
      <w:pPr>
        <w:jc w:val="right"/>
        <w:rPr>
          <w:sz w:val="22"/>
          <w:szCs w:val="22"/>
        </w:rPr>
      </w:pPr>
    </w:p>
    <w:p w14:paraId="225AEE53" w14:textId="77777777" w:rsidR="006039ED" w:rsidRPr="006039ED" w:rsidRDefault="006039ED" w:rsidP="006039ED">
      <w:pPr>
        <w:tabs>
          <w:tab w:val="left" w:pos="4136"/>
        </w:tabs>
        <w:jc w:val="right"/>
        <w:rPr>
          <w:sz w:val="22"/>
          <w:szCs w:val="22"/>
        </w:rPr>
      </w:pPr>
      <w:r w:rsidRPr="006039ED">
        <w:rPr>
          <w:sz w:val="22"/>
          <w:szCs w:val="22"/>
        </w:rPr>
        <w:t>Sindaco città di Fasano</w:t>
      </w:r>
    </w:p>
    <w:p w14:paraId="1867E32A" w14:textId="0DEB990B" w:rsidR="000051BD" w:rsidRPr="006039ED" w:rsidRDefault="006039ED" w:rsidP="006039ED">
      <w:pPr>
        <w:tabs>
          <w:tab w:val="left" w:pos="4136"/>
        </w:tabs>
        <w:jc w:val="right"/>
        <w:rPr>
          <w:b/>
          <w:bCs/>
          <w:sz w:val="22"/>
          <w:szCs w:val="22"/>
        </w:rPr>
      </w:pPr>
      <w:r w:rsidRPr="006039ED">
        <w:rPr>
          <w:b/>
          <w:bCs/>
          <w:sz w:val="22"/>
          <w:szCs w:val="22"/>
        </w:rPr>
        <w:t xml:space="preserve">Francesco Zaccaria </w:t>
      </w:r>
    </w:p>
    <w:p w14:paraId="0526CD35" w14:textId="77777777" w:rsidR="006039ED" w:rsidRDefault="006039ED" w:rsidP="006039ED">
      <w:pPr>
        <w:tabs>
          <w:tab w:val="left" w:pos="4136"/>
        </w:tabs>
        <w:jc w:val="right"/>
        <w:rPr>
          <w:sz w:val="22"/>
          <w:szCs w:val="22"/>
        </w:rPr>
      </w:pPr>
    </w:p>
    <w:p w14:paraId="5E9D49C6" w14:textId="5D363F49" w:rsidR="006039ED" w:rsidRPr="006039ED" w:rsidRDefault="006039ED" w:rsidP="006039ED">
      <w:pPr>
        <w:tabs>
          <w:tab w:val="left" w:pos="4136"/>
        </w:tabs>
        <w:jc w:val="right"/>
        <w:rPr>
          <w:sz w:val="22"/>
          <w:szCs w:val="22"/>
        </w:rPr>
      </w:pPr>
      <w:r w:rsidRPr="006039ED">
        <w:rPr>
          <w:sz w:val="22"/>
          <w:szCs w:val="22"/>
        </w:rPr>
        <w:t>Sindaco città di Ostuni</w:t>
      </w:r>
    </w:p>
    <w:p w14:paraId="5595EC49" w14:textId="5FBC873E" w:rsidR="006039ED" w:rsidRPr="006039ED" w:rsidRDefault="006039ED" w:rsidP="006039ED">
      <w:pPr>
        <w:tabs>
          <w:tab w:val="left" w:pos="4136"/>
        </w:tabs>
        <w:jc w:val="right"/>
        <w:rPr>
          <w:b/>
          <w:bCs/>
          <w:sz w:val="22"/>
          <w:szCs w:val="22"/>
        </w:rPr>
      </w:pPr>
      <w:r w:rsidRPr="006039ED">
        <w:rPr>
          <w:b/>
          <w:bCs/>
          <w:sz w:val="22"/>
          <w:szCs w:val="22"/>
        </w:rPr>
        <w:t xml:space="preserve">Angelo </w:t>
      </w:r>
      <w:proofErr w:type="spellStart"/>
      <w:r w:rsidRPr="006039ED">
        <w:rPr>
          <w:b/>
          <w:bCs/>
          <w:sz w:val="22"/>
          <w:szCs w:val="22"/>
        </w:rPr>
        <w:t>Pomes</w:t>
      </w:r>
      <w:proofErr w:type="spellEnd"/>
    </w:p>
    <w:p w14:paraId="25B961A4" w14:textId="77777777" w:rsidR="006039ED" w:rsidRDefault="006039ED" w:rsidP="006039ED">
      <w:pPr>
        <w:tabs>
          <w:tab w:val="left" w:pos="4136"/>
        </w:tabs>
        <w:jc w:val="right"/>
        <w:rPr>
          <w:sz w:val="22"/>
          <w:szCs w:val="22"/>
        </w:rPr>
      </w:pPr>
    </w:p>
    <w:p w14:paraId="639E74D6" w14:textId="3C9B1D21" w:rsidR="006039ED" w:rsidRPr="006039ED" w:rsidRDefault="006039ED" w:rsidP="006039ED">
      <w:pPr>
        <w:tabs>
          <w:tab w:val="left" w:pos="4136"/>
        </w:tabs>
        <w:jc w:val="right"/>
        <w:rPr>
          <w:sz w:val="22"/>
          <w:szCs w:val="22"/>
        </w:rPr>
      </w:pPr>
      <w:r w:rsidRPr="006039ED">
        <w:rPr>
          <w:sz w:val="22"/>
          <w:szCs w:val="22"/>
        </w:rPr>
        <w:t>Sindaco città di Carovigno</w:t>
      </w:r>
    </w:p>
    <w:p w14:paraId="2353B034" w14:textId="2A8FA44A" w:rsidR="006039ED" w:rsidRPr="006039ED" w:rsidRDefault="006039ED" w:rsidP="006039ED">
      <w:pPr>
        <w:tabs>
          <w:tab w:val="left" w:pos="4136"/>
        </w:tabs>
        <w:jc w:val="right"/>
        <w:rPr>
          <w:b/>
          <w:bCs/>
          <w:sz w:val="22"/>
          <w:szCs w:val="22"/>
        </w:rPr>
      </w:pPr>
      <w:r w:rsidRPr="006039ED">
        <w:rPr>
          <w:b/>
          <w:bCs/>
          <w:sz w:val="22"/>
          <w:szCs w:val="22"/>
        </w:rPr>
        <w:t>Massimo Lanzillotti</w:t>
      </w:r>
    </w:p>
    <w:p w14:paraId="5F2D66A1" w14:textId="77777777" w:rsidR="006039ED" w:rsidRDefault="006039ED" w:rsidP="006039ED">
      <w:pPr>
        <w:tabs>
          <w:tab w:val="left" w:pos="4136"/>
        </w:tabs>
        <w:jc w:val="right"/>
        <w:rPr>
          <w:sz w:val="22"/>
          <w:szCs w:val="22"/>
        </w:rPr>
      </w:pPr>
    </w:p>
    <w:p w14:paraId="753EF039" w14:textId="53E3A492" w:rsidR="006039ED" w:rsidRPr="006039ED" w:rsidRDefault="006039ED" w:rsidP="006039ED">
      <w:pPr>
        <w:tabs>
          <w:tab w:val="left" w:pos="4136"/>
        </w:tabs>
        <w:jc w:val="right"/>
        <w:rPr>
          <w:sz w:val="22"/>
          <w:szCs w:val="22"/>
        </w:rPr>
      </w:pPr>
      <w:r w:rsidRPr="006039ED">
        <w:rPr>
          <w:sz w:val="22"/>
          <w:szCs w:val="22"/>
        </w:rPr>
        <w:t>Sindaco città di Cisternino</w:t>
      </w:r>
    </w:p>
    <w:p w14:paraId="1614FC6E" w14:textId="65FEA64E" w:rsidR="006039ED" w:rsidRPr="006039ED" w:rsidRDefault="006039ED" w:rsidP="006039ED">
      <w:pPr>
        <w:tabs>
          <w:tab w:val="left" w:pos="4136"/>
        </w:tabs>
        <w:jc w:val="right"/>
        <w:rPr>
          <w:b/>
          <w:bCs/>
          <w:sz w:val="22"/>
          <w:szCs w:val="22"/>
        </w:rPr>
      </w:pPr>
      <w:r w:rsidRPr="006039ED">
        <w:rPr>
          <w:b/>
          <w:bCs/>
          <w:sz w:val="22"/>
          <w:szCs w:val="22"/>
        </w:rPr>
        <w:t>Lorenzo Perrini</w:t>
      </w:r>
    </w:p>
    <w:p w14:paraId="4FB3B7E0" w14:textId="77777777" w:rsidR="006039ED" w:rsidRDefault="006039ED" w:rsidP="006039ED">
      <w:pPr>
        <w:jc w:val="right"/>
        <w:rPr>
          <w:sz w:val="22"/>
          <w:szCs w:val="22"/>
        </w:rPr>
      </w:pPr>
    </w:p>
    <w:p w14:paraId="25150D71" w14:textId="6BC71669" w:rsidR="006039ED" w:rsidRPr="006039ED" w:rsidRDefault="006039ED" w:rsidP="006039ED">
      <w:pPr>
        <w:jc w:val="right"/>
        <w:rPr>
          <w:sz w:val="22"/>
          <w:szCs w:val="22"/>
        </w:rPr>
      </w:pPr>
      <w:r w:rsidRPr="006039ED">
        <w:rPr>
          <w:sz w:val="22"/>
          <w:szCs w:val="22"/>
        </w:rPr>
        <w:t>Sindaco città di San Vito dei Normanni</w:t>
      </w:r>
    </w:p>
    <w:p w14:paraId="19CDFB87" w14:textId="3BBE65C8" w:rsidR="006039ED" w:rsidRPr="006039ED" w:rsidRDefault="006039ED" w:rsidP="006039ED">
      <w:pPr>
        <w:jc w:val="right"/>
        <w:rPr>
          <w:b/>
          <w:bCs/>
          <w:sz w:val="22"/>
          <w:szCs w:val="22"/>
        </w:rPr>
      </w:pPr>
      <w:r w:rsidRPr="006039ED">
        <w:rPr>
          <w:b/>
          <w:bCs/>
          <w:sz w:val="22"/>
          <w:szCs w:val="22"/>
        </w:rPr>
        <w:t>Silvana Errico</w:t>
      </w:r>
    </w:p>
    <w:sectPr w:rsidR="006039ED" w:rsidRPr="006039ED">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2BB4" w14:textId="77777777" w:rsidR="00AB704C" w:rsidRDefault="00AB704C" w:rsidP="000051BD">
      <w:r>
        <w:separator/>
      </w:r>
    </w:p>
  </w:endnote>
  <w:endnote w:type="continuationSeparator" w:id="0">
    <w:p w14:paraId="6C27717A" w14:textId="77777777" w:rsidR="00AB704C" w:rsidRDefault="00AB704C" w:rsidP="00005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30041" w14:textId="77777777" w:rsidR="00AB704C" w:rsidRDefault="00AB704C" w:rsidP="000051BD">
      <w:r>
        <w:separator/>
      </w:r>
    </w:p>
  </w:footnote>
  <w:footnote w:type="continuationSeparator" w:id="0">
    <w:p w14:paraId="21AFD4E0" w14:textId="77777777" w:rsidR="00AB704C" w:rsidRDefault="00AB704C" w:rsidP="00005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93DA" w14:textId="403453DD" w:rsidR="000051BD" w:rsidRDefault="000051BD" w:rsidP="000051BD">
    <w:pPr>
      <w:pStyle w:val="Intestazione"/>
      <w:jc w:val="center"/>
    </w:pPr>
    <w:r>
      <w:rPr>
        <w:noProof/>
      </w:rPr>
      <w:drawing>
        <wp:inline distT="0" distB="0" distL="0" distR="0" wp14:anchorId="0A57834E" wp14:editId="2457CCCA">
          <wp:extent cx="719847" cy="996170"/>
          <wp:effectExtent l="0" t="0" r="0" b="0"/>
          <wp:docPr id="2200436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43647" name="Immagine 220043647"/>
                  <pic:cNvPicPr/>
                </pic:nvPicPr>
                <pic:blipFill>
                  <a:blip r:embed="rId1">
                    <a:extLst>
                      <a:ext uri="{28A0092B-C50C-407E-A947-70E740481C1C}">
                        <a14:useLocalDpi xmlns:a14="http://schemas.microsoft.com/office/drawing/2010/main" val="0"/>
                      </a:ext>
                    </a:extLst>
                  </a:blip>
                  <a:stretch>
                    <a:fillRect/>
                  </a:stretch>
                </pic:blipFill>
                <pic:spPr>
                  <a:xfrm>
                    <a:off x="0" y="0"/>
                    <a:ext cx="768398" cy="1063359"/>
                  </a:xfrm>
                  <a:prstGeom prst="rect">
                    <a:avLst/>
                  </a:prstGeom>
                </pic:spPr>
              </pic:pic>
            </a:graphicData>
          </a:graphic>
        </wp:inline>
      </w:drawing>
    </w:r>
    <w:r>
      <w:t xml:space="preserve">       </w:t>
    </w:r>
    <w:r>
      <w:rPr>
        <w:noProof/>
      </w:rPr>
      <w:drawing>
        <wp:inline distT="0" distB="0" distL="0" distR="0" wp14:anchorId="1FD70A6E" wp14:editId="13B17C00">
          <wp:extent cx="787940" cy="938893"/>
          <wp:effectExtent l="0" t="0" r="0" b="1270"/>
          <wp:docPr id="50139745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97458" name="Immagine 501397458"/>
                  <pic:cNvPicPr/>
                </pic:nvPicPr>
                <pic:blipFill>
                  <a:blip r:embed="rId2">
                    <a:extLst>
                      <a:ext uri="{28A0092B-C50C-407E-A947-70E740481C1C}">
                        <a14:useLocalDpi xmlns:a14="http://schemas.microsoft.com/office/drawing/2010/main" val="0"/>
                      </a:ext>
                    </a:extLst>
                  </a:blip>
                  <a:stretch>
                    <a:fillRect/>
                  </a:stretch>
                </pic:blipFill>
                <pic:spPr>
                  <a:xfrm>
                    <a:off x="0" y="0"/>
                    <a:ext cx="890311" cy="1060876"/>
                  </a:xfrm>
                  <a:prstGeom prst="rect">
                    <a:avLst/>
                  </a:prstGeom>
                </pic:spPr>
              </pic:pic>
            </a:graphicData>
          </a:graphic>
        </wp:inline>
      </w:drawing>
    </w:r>
    <w:r>
      <w:t xml:space="preserve">    </w:t>
    </w:r>
    <w:r>
      <w:rPr>
        <w:noProof/>
      </w:rPr>
      <w:drawing>
        <wp:inline distT="0" distB="0" distL="0" distR="0" wp14:anchorId="4042DDC6" wp14:editId="2E897A1D">
          <wp:extent cx="1591502" cy="993078"/>
          <wp:effectExtent l="0" t="0" r="0" b="0"/>
          <wp:docPr id="204989657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96577" name="Immagine 2049896577"/>
                  <pic:cNvPicPr/>
                </pic:nvPicPr>
                <pic:blipFill>
                  <a:blip r:embed="rId3">
                    <a:extLst>
                      <a:ext uri="{28A0092B-C50C-407E-A947-70E740481C1C}">
                        <a14:useLocalDpi xmlns:a14="http://schemas.microsoft.com/office/drawing/2010/main" val="0"/>
                      </a:ext>
                    </a:extLst>
                  </a:blip>
                  <a:stretch>
                    <a:fillRect/>
                  </a:stretch>
                </pic:blipFill>
                <pic:spPr>
                  <a:xfrm>
                    <a:off x="0" y="0"/>
                    <a:ext cx="1595280" cy="995435"/>
                  </a:xfrm>
                  <a:prstGeom prst="rect">
                    <a:avLst/>
                  </a:prstGeom>
                </pic:spPr>
              </pic:pic>
            </a:graphicData>
          </a:graphic>
        </wp:inline>
      </w:drawing>
    </w:r>
    <w:r>
      <w:t xml:space="preserve">    </w:t>
    </w:r>
    <w:r>
      <w:rPr>
        <w:noProof/>
      </w:rPr>
      <w:drawing>
        <wp:inline distT="0" distB="0" distL="0" distR="0" wp14:anchorId="468B99E2" wp14:editId="5C8C4111">
          <wp:extent cx="736861" cy="943583"/>
          <wp:effectExtent l="0" t="0" r="0" b="0"/>
          <wp:docPr id="175992933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29335" name="Immagine 1759929335"/>
                  <pic:cNvPicPr/>
                </pic:nvPicPr>
                <pic:blipFill>
                  <a:blip r:embed="rId4">
                    <a:extLst>
                      <a:ext uri="{28A0092B-C50C-407E-A947-70E740481C1C}">
                        <a14:useLocalDpi xmlns:a14="http://schemas.microsoft.com/office/drawing/2010/main" val="0"/>
                      </a:ext>
                    </a:extLst>
                  </a:blip>
                  <a:stretch>
                    <a:fillRect/>
                  </a:stretch>
                </pic:blipFill>
                <pic:spPr>
                  <a:xfrm flipH="1">
                    <a:off x="0" y="0"/>
                    <a:ext cx="766222" cy="981181"/>
                  </a:xfrm>
                  <a:prstGeom prst="rect">
                    <a:avLst/>
                  </a:prstGeom>
                </pic:spPr>
              </pic:pic>
            </a:graphicData>
          </a:graphic>
        </wp:inline>
      </w:drawing>
    </w:r>
    <w:r>
      <w:t xml:space="preserve">       </w:t>
    </w:r>
    <w:r>
      <w:rPr>
        <w:noProof/>
      </w:rPr>
      <w:drawing>
        <wp:inline distT="0" distB="0" distL="0" distR="0" wp14:anchorId="102CDEE6" wp14:editId="2DDE546F">
          <wp:extent cx="603115" cy="935241"/>
          <wp:effectExtent l="0" t="0" r="0" b="5080"/>
          <wp:docPr id="148883318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33180" name="Immagine 1488833180"/>
                  <pic:cNvPicPr/>
                </pic:nvPicPr>
                <pic:blipFill>
                  <a:blip r:embed="rId5">
                    <a:extLst>
                      <a:ext uri="{28A0092B-C50C-407E-A947-70E740481C1C}">
                        <a14:useLocalDpi xmlns:a14="http://schemas.microsoft.com/office/drawing/2010/main" val="0"/>
                      </a:ext>
                    </a:extLst>
                  </a:blip>
                  <a:stretch>
                    <a:fillRect/>
                  </a:stretch>
                </pic:blipFill>
                <pic:spPr>
                  <a:xfrm>
                    <a:off x="0" y="0"/>
                    <a:ext cx="621156" cy="9632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E414A"/>
    <w:multiLevelType w:val="multilevel"/>
    <w:tmpl w:val="C786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32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BD"/>
    <w:rsid w:val="000051BD"/>
    <w:rsid w:val="00193FCD"/>
    <w:rsid w:val="002405DE"/>
    <w:rsid w:val="003C54CB"/>
    <w:rsid w:val="003C7953"/>
    <w:rsid w:val="00555AC6"/>
    <w:rsid w:val="006039ED"/>
    <w:rsid w:val="008D6525"/>
    <w:rsid w:val="00AB704C"/>
    <w:rsid w:val="00BD7C45"/>
    <w:rsid w:val="00BE3115"/>
    <w:rsid w:val="00C82AC2"/>
    <w:rsid w:val="00E23D6E"/>
    <w:rsid w:val="00EF7C6C"/>
    <w:rsid w:val="00F2558E"/>
    <w:rsid w:val="00FD3E4F"/>
    <w:rsid w:val="00FE32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B5E4"/>
  <w15:chartTrackingRefBased/>
  <w15:docId w15:val="{6717EE8B-32E7-3D47-8281-EFA461A5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51BD"/>
    <w:rPr>
      <w:kern w:val="0"/>
      <w14:ligatures w14:val="none"/>
    </w:rPr>
  </w:style>
  <w:style w:type="paragraph" w:styleId="Titolo1">
    <w:name w:val="heading 1"/>
    <w:basedOn w:val="Normale"/>
    <w:next w:val="Normale"/>
    <w:link w:val="Titolo1Carattere"/>
    <w:uiPriority w:val="9"/>
    <w:qFormat/>
    <w:rsid w:val="000051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051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051B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051B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051B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051B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51B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51B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51B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51B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051B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051B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051B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051B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051B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51B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51B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51BD"/>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51B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51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51B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51B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51B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51BD"/>
    <w:rPr>
      <w:i/>
      <w:iCs/>
      <w:color w:val="404040" w:themeColor="text1" w:themeTint="BF"/>
    </w:rPr>
  </w:style>
  <w:style w:type="paragraph" w:styleId="Paragrafoelenco">
    <w:name w:val="List Paragraph"/>
    <w:basedOn w:val="Normale"/>
    <w:uiPriority w:val="34"/>
    <w:qFormat/>
    <w:rsid w:val="000051BD"/>
    <w:pPr>
      <w:ind w:left="720"/>
      <w:contextualSpacing/>
    </w:pPr>
  </w:style>
  <w:style w:type="character" w:styleId="Enfasiintensa">
    <w:name w:val="Intense Emphasis"/>
    <w:basedOn w:val="Carpredefinitoparagrafo"/>
    <w:uiPriority w:val="21"/>
    <w:qFormat/>
    <w:rsid w:val="000051BD"/>
    <w:rPr>
      <w:i/>
      <w:iCs/>
      <w:color w:val="2F5496" w:themeColor="accent1" w:themeShade="BF"/>
    </w:rPr>
  </w:style>
  <w:style w:type="paragraph" w:styleId="Citazioneintensa">
    <w:name w:val="Intense Quote"/>
    <w:basedOn w:val="Normale"/>
    <w:next w:val="Normale"/>
    <w:link w:val="CitazioneintensaCarattere"/>
    <w:uiPriority w:val="30"/>
    <w:qFormat/>
    <w:rsid w:val="000051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051BD"/>
    <w:rPr>
      <w:i/>
      <w:iCs/>
      <w:color w:val="2F5496" w:themeColor="accent1" w:themeShade="BF"/>
    </w:rPr>
  </w:style>
  <w:style w:type="character" w:styleId="Riferimentointenso">
    <w:name w:val="Intense Reference"/>
    <w:basedOn w:val="Carpredefinitoparagrafo"/>
    <w:uiPriority w:val="32"/>
    <w:qFormat/>
    <w:rsid w:val="000051BD"/>
    <w:rPr>
      <w:b/>
      <w:bCs/>
      <w:smallCaps/>
      <w:color w:val="2F5496" w:themeColor="accent1" w:themeShade="BF"/>
      <w:spacing w:val="5"/>
    </w:rPr>
  </w:style>
  <w:style w:type="paragraph" w:styleId="Intestazione">
    <w:name w:val="header"/>
    <w:basedOn w:val="Normale"/>
    <w:link w:val="IntestazioneCarattere"/>
    <w:uiPriority w:val="99"/>
    <w:unhideWhenUsed/>
    <w:rsid w:val="000051BD"/>
    <w:pPr>
      <w:tabs>
        <w:tab w:val="center" w:pos="4819"/>
        <w:tab w:val="right" w:pos="9638"/>
      </w:tabs>
    </w:pPr>
  </w:style>
  <w:style w:type="character" w:customStyle="1" w:styleId="IntestazioneCarattere">
    <w:name w:val="Intestazione Carattere"/>
    <w:basedOn w:val="Carpredefinitoparagrafo"/>
    <w:link w:val="Intestazione"/>
    <w:uiPriority w:val="99"/>
    <w:rsid w:val="000051BD"/>
  </w:style>
  <w:style w:type="paragraph" w:styleId="Pidipagina">
    <w:name w:val="footer"/>
    <w:basedOn w:val="Normale"/>
    <w:link w:val="PidipaginaCarattere"/>
    <w:uiPriority w:val="99"/>
    <w:unhideWhenUsed/>
    <w:rsid w:val="000051BD"/>
    <w:pPr>
      <w:tabs>
        <w:tab w:val="center" w:pos="4819"/>
        <w:tab w:val="right" w:pos="9638"/>
      </w:tabs>
    </w:pPr>
  </w:style>
  <w:style w:type="character" w:customStyle="1" w:styleId="PidipaginaCarattere">
    <w:name w:val="Piè di pagina Carattere"/>
    <w:basedOn w:val="Carpredefinitoparagrafo"/>
    <w:link w:val="Pidipagina"/>
    <w:uiPriority w:val="99"/>
    <w:rsid w:val="000051BD"/>
  </w:style>
  <w:style w:type="character" w:styleId="Collegamentoipertestuale">
    <w:name w:val="Hyperlink"/>
    <w:basedOn w:val="Carpredefinitoparagrafo"/>
    <w:uiPriority w:val="99"/>
    <w:unhideWhenUsed/>
    <w:rsid w:val="006039ED"/>
    <w:rPr>
      <w:color w:val="0563C1" w:themeColor="hyperlink"/>
      <w:u w:val="single"/>
    </w:rPr>
  </w:style>
  <w:style w:type="character" w:styleId="Menzionenonrisolta">
    <w:name w:val="Unresolved Mention"/>
    <w:basedOn w:val="Carpredefinitoparagrafo"/>
    <w:uiPriority w:val="99"/>
    <w:semiHidden/>
    <w:unhideWhenUsed/>
    <w:rsid w:val="00603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5F900-6611-AB4B-A1DB-95D77633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790</Words>
  <Characters>4507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2025-12-30T13:24:00Z</dcterms:created>
  <dcterms:modified xsi:type="dcterms:W3CDTF">2025-12-31T08:41:00Z</dcterms:modified>
</cp:coreProperties>
</file>